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3FA6">
      <w:pPr>
        <w:widowControl w:val="0"/>
        <w:autoSpaceDE w:val="0"/>
        <w:autoSpaceDN w:val="0"/>
        <w:adjustRightInd w:val="0"/>
        <w:snapToGrid w:val="0"/>
        <w:jc w:val="left"/>
        <w:rPr>
          <w:rFonts w:hAnsi="宋体" w:cs="仿宋_GB2312"/>
          <w:kern w:val="0"/>
          <w:szCs w:val="32"/>
        </w:rPr>
      </w:pPr>
      <w:bookmarkStart w:id="0" w:name="_GoBack"/>
      <w:r>
        <w:rPr>
          <w:rFonts w:hint="eastAsia" w:hAnsi="宋体" w:cs="仿宋_GB2312"/>
          <w:kern w:val="0"/>
          <w:szCs w:val="32"/>
        </w:rPr>
        <w:t>附件1</w:t>
      </w:r>
    </w:p>
    <w:p w14:paraId="7E746D36">
      <w:pPr>
        <w:widowControl w:val="0"/>
        <w:autoSpaceDE w:val="0"/>
        <w:autoSpaceDN w:val="0"/>
        <w:adjustRightInd w:val="0"/>
        <w:snapToGrid w:val="0"/>
        <w:jc w:val="left"/>
        <w:rPr>
          <w:rFonts w:hAnsi="宋体" w:cs="仿宋_GB2312"/>
          <w:kern w:val="0"/>
          <w:szCs w:val="32"/>
        </w:rPr>
      </w:pPr>
    </w:p>
    <w:p w14:paraId="31C99999">
      <w:pPr>
        <w:widowControl w:val="0"/>
        <w:autoSpaceDE w:val="0"/>
        <w:autoSpaceDN w:val="0"/>
        <w:adjustRightInd w:val="0"/>
        <w:snapToGrid w:val="0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2</w:t>
      </w:r>
      <w:r>
        <w:rPr>
          <w:rFonts w:ascii="方正小标宋简体" w:hAnsi="宋体" w:eastAsia="方正小标宋简体" w:cs="仿宋_GB2312"/>
          <w:sz w:val="44"/>
          <w:szCs w:val="44"/>
        </w:rPr>
        <w:t>02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3</w:t>
      </w:r>
      <w:r>
        <w:rPr>
          <w:rFonts w:ascii="方正小标宋简体" w:hAnsi="宋体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度党建和思想政治工作研究项目指南</w:t>
      </w:r>
    </w:p>
    <w:bookmarkEnd w:id="0"/>
    <w:p w14:paraId="70DFFDD7">
      <w:pPr>
        <w:widowControl w:val="0"/>
        <w:autoSpaceDE w:val="0"/>
        <w:autoSpaceDN w:val="0"/>
        <w:adjustRightInd w:val="0"/>
        <w:snapToGrid w:val="0"/>
        <w:ind w:firstLine="640" w:firstLineChars="200"/>
        <w:jc w:val="left"/>
        <w:rPr>
          <w:rFonts w:hAnsi="Times New Roman" w:cs="仿宋_GB2312"/>
          <w:kern w:val="0"/>
          <w:szCs w:val="32"/>
        </w:rPr>
      </w:pPr>
    </w:p>
    <w:p w14:paraId="15ECAD94">
      <w:pPr>
        <w:widowControl w:val="0"/>
        <w:adjustRightInd w:val="0"/>
        <w:snapToGrid w:val="0"/>
        <w:ind w:firstLine="640" w:firstLineChars="20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一、综合类</w:t>
      </w:r>
    </w:p>
    <w:p w14:paraId="4FBFD98E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新时代学校（学院、医院）党的建设/思想政治建设重要成就和宝贵经验研究</w:t>
      </w:r>
    </w:p>
    <w:p w14:paraId="57BC0CA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构建高质量党建工作/思想政治工作体系研究</w:t>
      </w:r>
    </w:p>
    <w:p w14:paraId="29A609F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推动新时代组织工作/宣传工作/统战工作/安全稳定工作高质量发展问题研究</w:t>
      </w:r>
    </w:p>
    <w:p w14:paraId="38FF4E60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推进“一融双高”（党建与事业发展深度融合，高质量党建引领高质量发展）机制研究</w:t>
      </w:r>
    </w:p>
    <w:p w14:paraId="0ABBD815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高校党建工作/思想政治工作日常评价体系研究</w:t>
      </w:r>
    </w:p>
    <w:p w14:paraId="5CB22413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高质量开展党内集中学习教育活动实践与经验研究</w:t>
      </w:r>
    </w:p>
    <w:p w14:paraId="401D3DA3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推动习近平新时代中国特色社会主义思想入脑入心方法研究</w:t>
      </w:r>
    </w:p>
    <w:p w14:paraId="10DB5B2F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健全党统一领导、全面覆盖、权威高效的监督体系研究</w:t>
      </w:r>
    </w:p>
    <w:p w14:paraId="13BCB23D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640" w:firstLineChars="200"/>
        <w:jc w:val="left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巡察工作高质量发展的理论与实践探索</w:t>
      </w:r>
    </w:p>
    <w:p w14:paraId="00FB2B2C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640" w:firstLineChars="200"/>
        <w:jc w:val="left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加强新时代廉政文化建设研究</w:t>
      </w:r>
    </w:p>
    <w:p w14:paraId="0195632C">
      <w:pPr>
        <w:pStyle w:val="2"/>
        <w:adjustRightInd w:val="0"/>
        <w:snapToGrid w:val="0"/>
        <w:rPr>
          <w:szCs w:val="32"/>
        </w:rPr>
      </w:pPr>
      <w:r>
        <w:rPr>
          <w:rFonts w:hint="eastAsia"/>
          <w:szCs w:val="32"/>
        </w:rPr>
        <w:t>二、干部和人才队伍建设</w:t>
      </w:r>
    </w:p>
    <w:p w14:paraId="51996210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提高领导干部政治判断力、政治领悟力、政治执行力实现途径研究</w:t>
      </w:r>
    </w:p>
    <w:p w14:paraId="3E77D0E2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突出提高治理能力锻造高素质专业化干部队伍研究</w:t>
      </w:r>
    </w:p>
    <w:p w14:paraId="0081F73C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党政领导班子协调机制研究</w:t>
      </w:r>
    </w:p>
    <w:p w14:paraId="669DEF4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激励干部新担当新作为机制研究</w:t>
      </w:r>
    </w:p>
    <w:p w14:paraId="6C706F06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开展干部政治素质考核的实践探索研究</w:t>
      </w:r>
    </w:p>
    <w:p w14:paraId="7A2AB20E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落实“党管人才”的体制机制研究</w:t>
      </w:r>
    </w:p>
    <w:p w14:paraId="3219A60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选拔、培养优秀年轻干部工作研究</w:t>
      </w:r>
    </w:p>
    <w:p w14:paraId="3518FFA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“双肩挑”干部队伍建设研究</w:t>
      </w:r>
    </w:p>
    <w:p w14:paraId="67A64AA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领导干部“处理突发性事件”能力培养研究</w:t>
      </w:r>
    </w:p>
    <w:p w14:paraId="23CB6AC5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推进各级干部能上能下科学化常态化长效化机制研究</w:t>
      </w:r>
    </w:p>
    <w:p w14:paraId="11E72AA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加强换届后领导班子思想政治建设研究</w:t>
      </w:r>
    </w:p>
    <w:p w14:paraId="0C000D29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深化人才发展体制机制改革研究</w:t>
      </w:r>
    </w:p>
    <w:p w14:paraId="44B4D783">
      <w:pPr>
        <w:pStyle w:val="2"/>
        <w:adjustRightInd w:val="0"/>
        <w:snapToGrid w:val="0"/>
        <w:rPr>
          <w:szCs w:val="32"/>
        </w:rPr>
      </w:pPr>
      <w:r>
        <w:rPr>
          <w:rFonts w:hint="eastAsia"/>
          <w:szCs w:val="32"/>
        </w:rPr>
        <w:t>三、基层党组织和党员队伍建设</w:t>
      </w:r>
    </w:p>
    <w:p w14:paraId="271C460F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学院高质量、规范化落实党组织会议和党政联席会议制度研究</w:t>
      </w:r>
    </w:p>
    <w:p w14:paraId="2B97B133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公立医院落实党委领导下的院长负责制研究</w:t>
      </w:r>
    </w:p>
    <w:p w14:paraId="2F76CCFB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新时代基层“党建双创”建设路径研究</w:t>
      </w:r>
    </w:p>
    <w:p w14:paraId="01D737A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持续推动党的创新理论学习教育在基层走深走实研究</w:t>
      </w:r>
    </w:p>
    <w:p w14:paraId="3153A68F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教学型、科研型、管理型教职工党支部发挥作用机制研究</w:t>
      </w:r>
    </w:p>
    <w:p w14:paraId="0998888E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强化教师/学生/医生党支部政治功能研究</w:t>
      </w:r>
    </w:p>
    <w:p w14:paraId="053CB9A8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教师党支部推动“三全育人”机制/“课程思政”机制研究</w:t>
      </w:r>
    </w:p>
    <w:p w14:paraId="3DDB5C5E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教师党支部书记/学生党支部书记队伍建设研究</w:t>
      </w:r>
    </w:p>
    <w:p w14:paraId="1D609F64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加强新时期统战/离退休/群团党建工作研究</w:t>
      </w:r>
    </w:p>
    <w:p w14:paraId="79E87EC4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临时党组织发挥战斗堡垒作用机制研究</w:t>
      </w:r>
    </w:p>
    <w:p w14:paraId="4C28B1F5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各级党组织加强教师思想政治工作研究</w:t>
      </w:r>
    </w:p>
    <w:p w14:paraId="73A4BA09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推进学生党员先锋工程机制研究</w:t>
      </w:r>
    </w:p>
    <w:p w14:paraId="50A8CAD9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党员组织关系转接工作有关问题研究</w:t>
      </w:r>
    </w:p>
    <w:p w14:paraId="72CD622D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基于网络新媒体的党建工作/思想政治工作培训模式研究</w:t>
      </w:r>
    </w:p>
    <w:p w14:paraId="754CD991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网络新媒体环境下高校关工委助力学生党建工作研究</w:t>
      </w:r>
    </w:p>
    <w:p w14:paraId="7C763B1F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建设高素质专业化党务工作队伍研究</w:t>
      </w:r>
    </w:p>
    <w:p w14:paraId="5419CEE3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基层党员活动项目化质量提升建设研究</w:t>
      </w:r>
    </w:p>
    <w:p w14:paraId="2368A102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“一院一品牌、一支部一特色”党建特色品牌创建研究</w:t>
      </w:r>
    </w:p>
    <w:p w14:paraId="373BBBE4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加强高层次人才/青年教师党员发展工作研究</w:t>
      </w:r>
    </w:p>
    <w:p w14:paraId="1C87BDE1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新时代提升学生党员发展质量研究</w:t>
      </w:r>
    </w:p>
    <w:p w14:paraId="786DF631">
      <w:pPr>
        <w:widowControl w:val="0"/>
        <w:tabs>
          <w:tab w:val="left" w:pos="360"/>
          <w:tab w:val="left" w:pos="1276"/>
          <w:tab w:val="left" w:pos="2552"/>
        </w:tabs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Cs w:val="32"/>
        </w:rPr>
      </w:pPr>
      <w:r>
        <w:rPr>
          <w:rFonts w:hint="eastAsia" w:ascii="黑体" w:hAnsi="黑体" w:eastAsia="黑体" w:cs="Times New Roman"/>
          <w:bCs/>
          <w:szCs w:val="32"/>
        </w:rPr>
        <w:t>四、思想政治工作</w:t>
      </w:r>
    </w:p>
    <w:p w14:paraId="619F2434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习近平总书记关于新时代学校思想政治理论课的重要论述研究</w:t>
      </w:r>
    </w:p>
    <w:p w14:paraId="2D80979A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新形势下构建思政课程、课程思政协同机制研究</w:t>
      </w:r>
    </w:p>
    <w:p w14:paraId="6F377277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新媒体背景下思想政治理论课教学实效性研究</w:t>
      </w:r>
    </w:p>
    <w:p w14:paraId="31D63ABB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高校党建工作/思想政治工作融入学生社区建设与管理研究</w:t>
      </w:r>
    </w:p>
    <w:p w14:paraId="2F0CA12D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师德师风建设实践研究</w:t>
      </w:r>
    </w:p>
    <w:p w14:paraId="17A32562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辅导员在“一站式”学生社区建设中的角色定位与能力培养研究</w:t>
      </w:r>
    </w:p>
    <w:p w14:paraId="34DF146E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新时代高校大学生心理健康教育的难点与对策研究</w:t>
      </w:r>
    </w:p>
    <w:p w14:paraId="45339FF5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新媒体情境下高校网络舆情研判与应对策略研究</w:t>
      </w:r>
    </w:p>
    <w:p w14:paraId="669F4BA0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思想政治工作队伍建设研究</w:t>
      </w:r>
    </w:p>
    <w:p w14:paraId="5DEE2674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红色资源/中华优秀传统文化发挥育人作用研究</w:t>
      </w:r>
    </w:p>
    <w:p w14:paraId="72662454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“五育并举”工作实践与评价体系研究</w:t>
      </w:r>
    </w:p>
    <w:p w14:paraId="0CCE02FE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“十大育人”体系与一体化育人体系构建研究</w:t>
      </w:r>
    </w:p>
    <w:p w14:paraId="434A589F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学生社团（组织）育人路径和机制研究</w:t>
      </w:r>
    </w:p>
    <w:p w14:paraId="2F069FB2">
      <w:pPr>
        <w:widowControl w:val="0"/>
        <w:tabs>
          <w:tab w:val="left" w:pos="360"/>
          <w:tab w:val="left" w:pos="1276"/>
          <w:tab w:val="left" w:pos="2552"/>
        </w:tabs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Cs w:val="32"/>
        </w:rPr>
      </w:pPr>
      <w:r>
        <w:rPr>
          <w:rFonts w:hint="eastAsia" w:ascii="黑体" w:hAnsi="黑体" w:eastAsia="黑体" w:cs="Times New Roman"/>
          <w:bCs/>
          <w:szCs w:val="32"/>
        </w:rPr>
        <w:t>五、离退休工作</w:t>
      </w:r>
    </w:p>
    <w:p w14:paraId="7C4DDE09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加强新时代离退休党建工作研究</w:t>
      </w:r>
    </w:p>
    <w:p w14:paraId="043DEBBB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离退休党建工作标准化规范化研究</w:t>
      </w:r>
    </w:p>
    <w:p w14:paraId="3EE3C50F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离退休党员发挥优势作用服务中心工作的实践研究</w:t>
      </w:r>
    </w:p>
    <w:p w14:paraId="7D2279C7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建立健全干部荣誉退休制度的工作研究</w:t>
      </w:r>
    </w:p>
    <w:p w14:paraId="1568228D">
      <w:pPr>
        <w:widowControl w:val="0"/>
        <w:numPr>
          <w:ilvl w:val="0"/>
          <w:numId w:val="1"/>
        </w:numPr>
        <w:adjustRightInd w:val="0"/>
        <w:snapToGrid w:val="0"/>
        <w:ind w:left="0" w:firstLine="640" w:firstLineChars="200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高质量推进特邀党建组织员队伍建设研究</w:t>
      </w:r>
    </w:p>
    <w:p w14:paraId="1F269D52">
      <w:pPr>
        <w:widowControl w:val="0"/>
        <w:tabs>
          <w:tab w:val="left" w:pos="360"/>
          <w:tab w:val="left" w:pos="1276"/>
          <w:tab w:val="left" w:pos="2552"/>
        </w:tabs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Cs w:val="32"/>
        </w:rPr>
      </w:pPr>
      <w:r>
        <w:rPr>
          <w:rFonts w:hint="eastAsia" w:ascii="黑体" w:hAnsi="黑体" w:eastAsia="黑体" w:cs="Times New Roman"/>
          <w:bCs/>
          <w:szCs w:val="32"/>
        </w:rPr>
        <w:t>六、其他工作</w:t>
      </w:r>
    </w:p>
    <w:p w14:paraId="36890822">
      <w:pPr>
        <w:widowControl w:val="0"/>
        <w:tabs>
          <w:tab w:val="left" w:pos="360"/>
          <w:tab w:val="left" w:pos="1276"/>
          <w:tab w:val="left" w:pos="2552"/>
        </w:tabs>
        <w:adjustRightInd w:val="0"/>
        <w:snapToGrid w:val="0"/>
        <w:ind w:firstLine="640" w:firstLineChars="200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kern w:val="0"/>
          <w:szCs w:val="32"/>
        </w:rPr>
        <w:t>可以围绕其它党建工作和思想政治干工作的理论及实践问题，自主选题开展研究</w:t>
      </w:r>
    </w:p>
    <w:p w14:paraId="06E97664"/>
    <w:sectPr>
      <w:footerReference r:id="rId5" w:type="default"/>
      <w:pgSz w:w="11906" w:h="16838"/>
      <w:pgMar w:top="2098" w:right="1474" w:bottom="1984" w:left="1588" w:header="851" w:footer="992" w:gutter="0"/>
      <w:cols w:space="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sz w:val="24"/>
        <w:szCs w:val="24"/>
      </w:rPr>
      <w:id w:val="-162864207"/>
    </w:sdtPr>
    <w:sdtEndPr>
      <w:rPr>
        <w:rFonts w:ascii="Calibri" w:hAnsi="Calibri" w:eastAsia="宋体" w:cs="Times New Roman"/>
        <w:sz w:val="24"/>
        <w:szCs w:val="24"/>
      </w:rPr>
    </w:sdtEndPr>
    <w:sdtContent>
      <w:p w14:paraId="3C832476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sz w:val="24"/>
            <w:szCs w:val="24"/>
          </w:rPr>
        </w:pPr>
        <w:r>
          <w:rPr>
            <w:rFonts w:ascii="Calibri" w:hAnsi="Calibri" w:eastAsia="宋体" w:cs="Times New Roman"/>
            <w:sz w:val="24"/>
            <w:szCs w:val="24"/>
          </w:rPr>
          <w:fldChar w:fldCharType="begin"/>
        </w:r>
        <w:r>
          <w:rPr>
            <w:rFonts w:ascii="Calibri" w:hAnsi="Calibri" w:eastAsia="宋体" w:cs="Times New Roman"/>
            <w:sz w:val="24"/>
            <w:szCs w:val="24"/>
          </w:rPr>
          <w:instrText xml:space="preserve">PAGE   \* MERGEFORMAT</w:instrText>
        </w:r>
        <w:r>
          <w:rPr>
            <w:rFonts w:ascii="Calibri" w:hAnsi="Calibri" w:eastAsia="宋体" w:cs="Times New Roman"/>
            <w:sz w:val="24"/>
            <w:szCs w:val="24"/>
          </w:rPr>
          <w:fldChar w:fldCharType="separate"/>
        </w:r>
        <w:r>
          <w:rPr>
            <w:rFonts w:ascii="Calibri" w:hAnsi="Calibri" w:eastAsia="宋体" w:cs="Times New Roman"/>
            <w:sz w:val="24"/>
            <w:szCs w:val="24"/>
            <w:lang w:val="zh-CN"/>
          </w:rPr>
          <w:t>5</w:t>
        </w:r>
        <w:r>
          <w:rPr>
            <w:rFonts w:ascii="Calibri" w:hAnsi="Calibri" w:eastAsia="宋体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546EA"/>
    <w:multiLevelType w:val="singleLevel"/>
    <w:tmpl w:val="1AF546E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NkYjI4YzFlYWUwNGRkMDQ4Mjc5NDBiNjU2ODcifQ=="/>
  </w:docVars>
  <w:rsids>
    <w:rsidRoot w:val="77843FCC"/>
    <w:rsid w:val="778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keepLines/>
      <w:spacing w:line="579" w:lineRule="exact"/>
      <w:ind w:firstLine="640" w:firstLineChars="200"/>
      <w:outlineLvl w:val="0"/>
    </w:pPr>
    <w:rPr>
      <w:rFonts w:ascii="仿宋_GB2312" w:hAnsi="仿宋_GB2312" w:eastAsia="黑体" w:cstheme="minorBidi"/>
      <w:kern w:val="44"/>
      <w:sz w:val="32"/>
      <w:lang w:val="en-US" w:eastAsia="zh-CN" w:bidi="ar-SA"/>
    </w:rPr>
  </w:style>
  <w:style w:type="paragraph" w:styleId="4">
    <w:name w:val="heading 2"/>
    <w:next w:val="3"/>
    <w:semiHidden/>
    <w:unhideWhenUsed/>
    <w:qFormat/>
    <w:uiPriority w:val="9"/>
    <w:pPr>
      <w:keepNext/>
      <w:keepLines/>
      <w:spacing w:line="579" w:lineRule="exact"/>
      <w:outlineLvl w:val="1"/>
    </w:pPr>
    <w:rPr>
      <w:rFonts w:ascii="Arial" w:hAnsi="Arial" w:eastAsia="楷体_GB2312" w:cstheme="minorBidi"/>
      <w:b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4"/>
    <w:qFormat/>
    <w:uiPriority w:val="10"/>
    <w:pPr>
      <w:outlineLvl w:val="0"/>
    </w:pPr>
    <w:rPr>
      <w:rFonts w:ascii="Arial" w:hAnsi="Arial" w:eastAsia="楷体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2024-10-18T02:37:00Z</dcterms:created>
  <dc:creator>wangyayu</dc:creator>
  <cp:lastModifiedBy>wangyayu</cp:lastModifiedBy>
  <dcterms:modified xsi:type="dcterms:W3CDTF">2024-10-18T02:38:10Z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4AF2551C99C2490DB7DCA688ACA2985B_11</vt:lpwstr>
  </property>
</Properties>
</file>